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3173" w:rsidRPr="00DE5C96" w:rsidRDefault="00BF3173" w:rsidP="00DE5C96">
      <w:pPr>
        <w:jc w:val="center"/>
        <w:rPr>
          <w:rFonts w:ascii="Times New Roman" w:hAnsi="Times New Roman"/>
          <w:sz w:val="24"/>
          <w:szCs w:val="24"/>
        </w:rPr>
      </w:pPr>
      <w:r w:rsidRPr="00DE5C96">
        <w:rPr>
          <w:rFonts w:ascii="Times New Roman" w:hAnsi="Times New Roman"/>
          <w:sz w:val="24"/>
          <w:szCs w:val="24"/>
        </w:rPr>
        <w:t>Мирјана Илић</w:t>
      </w:r>
    </w:p>
    <w:p w:rsidR="00BF3173" w:rsidRPr="00010BF6" w:rsidRDefault="00BF3173" w:rsidP="00DE5C96">
      <w:pPr>
        <w:jc w:val="center"/>
        <w:rPr>
          <w:rFonts w:ascii="Times New Roman" w:hAnsi="Times New Roman"/>
          <w:b/>
          <w:sz w:val="24"/>
          <w:szCs w:val="24"/>
        </w:rPr>
      </w:pPr>
      <w:r w:rsidRPr="00010BF6">
        <w:rPr>
          <w:rFonts w:ascii="Times New Roman" w:hAnsi="Times New Roman"/>
          <w:b/>
          <w:sz w:val="24"/>
          <w:szCs w:val="24"/>
        </w:rPr>
        <w:t>Боје у оку свести и језику</w:t>
      </w:r>
    </w:p>
    <w:p w:rsidR="00BF3173" w:rsidRPr="00DE5C96" w:rsidRDefault="00BF3173" w:rsidP="00DE5C96">
      <w:pPr>
        <w:jc w:val="center"/>
        <w:rPr>
          <w:rFonts w:ascii="Times New Roman" w:hAnsi="Times New Roman"/>
          <w:sz w:val="24"/>
          <w:szCs w:val="24"/>
        </w:rPr>
      </w:pPr>
    </w:p>
    <w:p w:rsidR="00BF3173" w:rsidRDefault="00BF3173" w:rsidP="00DE5C96">
      <w:pPr>
        <w:jc w:val="center"/>
        <w:rPr>
          <w:rFonts w:ascii="Times New Roman" w:hAnsi="Times New Roman"/>
          <w:sz w:val="24"/>
          <w:szCs w:val="24"/>
        </w:rPr>
      </w:pPr>
      <w:r w:rsidRPr="00DE5C96">
        <w:rPr>
          <w:rFonts w:ascii="Times New Roman" w:hAnsi="Times New Roman"/>
          <w:sz w:val="24"/>
          <w:szCs w:val="24"/>
        </w:rPr>
        <w:t>Рецензија књиге</w:t>
      </w:r>
    </w:p>
    <w:p w:rsidR="00BF3173" w:rsidRDefault="00BF3173" w:rsidP="0047231E">
      <w:pPr>
        <w:spacing w:line="360" w:lineRule="auto"/>
        <w:jc w:val="both"/>
        <w:rPr>
          <w:rFonts w:ascii="Times New Roman" w:hAnsi="Times New Roman"/>
          <w:sz w:val="24"/>
          <w:szCs w:val="24"/>
        </w:rPr>
      </w:pPr>
      <w:r>
        <w:rPr>
          <w:rFonts w:ascii="Times New Roman" w:hAnsi="Times New Roman"/>
          <w:sz w:val="24"/>
          <w:szCs w:val="24"/>
        </w:rPr>
        <w:tab/>
        <w:t xml:space="preserve">Монографија </w:t>
      </w:r>
      <w:r>
        <w:rPr>
          <w:rFonts w:ascii="Times New Roman" w:hAnsi="Times New Roman"/>
          <w:i/>
          <w:sz w:val="24"/>
          <w:szCs w:val="24"/>
        </w:rPr>
        <w:t xml:space="preserve">Боје у оку, свести и језику </w:t>
      </w:r>
      <w:r>
        <w:rPr>
          <w:rFonts w:ascii="Times New Roman" w:hAnsi="Times New Roman"/>
          <w:sz w:val="24"/>
          <w:szCs w:val="24"/>
        </w:rPr>
        <w:t xml:space="preserve">представља прерађен текст докторске дисертације, коју је Мирјана Илић одбранила 2011. године на Филолошком факултету Универзитета у Београду. </w:t>
      </w:r>
    </w:p>
    <w:p w:rsidR="00BF3173" w:rsidRDefault="00BF3173" w:rsidP="0047231E">
      <w:pPr>
        <w:spacing w:line="360" w:lineRule="auto"/>
        <w:jc w:val="both"/>
        <w:rPr>
          <w:rFonts w:ascii="Times New Roman" w:hAnsi="Times New Roman"/>
          <w:sz w:val="24"/>
          <w:szCs w:val="24"/>
        </w:rPr>
      </w:pPr>
      <w:r>
        <w:rPr>
          <w:rFonts w:ascii="Times New Roman" w:hAnsi="Times New Roman"/>
          <w:sz w:val="24"/>
          <w:szCs w:val="24"/>
        </w:rPr>
        <w:tab/>
        <w:t>Монографија се најуопштеније може поделити на два дела – теоријски и емпиријски. У теоријском делу се, после уводних напомена, даје кратак и уопштен преглед неких значајнијих лингвистичких теорија које се користе у савременим истраживањима лексичког значења, а затим се, такође у најкраћим цртама, описују физички, физиолошки и психолошки аспекти боје из угла већег броја дисциплина.</w:t>
      </w:r>
    </w:p>
    <w:p w:rsidR="00BF3173" w:rsidRDefault="00BF3173" w:rsidP="0047231E">
      <w:pPr>
        <w:spacing w:line="360" w:lineRule="auto"/>
        <w:ind w:firstLine="720"/>
        <w:jc w:val="both"/>
        <w:rPr>
          <w:rFonts w:ascii="Times New Roman" w:hAnsi="Times New Roman"/>
          <w:sz w:val="24"/>
        </w:rPr>
      </w:pPr>
      <w:r>
        <w:rPr>
          <w:rFonts w:ascii="Times New Roman" w:hAnsi="Times New Roman"/>
          <w:sz w:val="24"/>
          <w:szCs w:val="24"/>
        </w:rPr>
        <w:t>Главни део књиге сачињава емпиријска анализа семантичког потенцијала назива за боје. Детаљно се обрађују значења лексема за седам боја – белу, црну, сиву, плаву, црвену, зелену и жуту. Грађа је ексцерпирана из речника савременог српског језика, као и из романа значајних књижевника, представника савремене српске књижевности.</w:t>
      </w:r>
      <w:r w:rsidRPr="00D74E95">
        <w:rPr>
          <w:rFonts w:ascii="Times New Roman" w:hAnsi="Times New Roman"/>
          <w:sz w:val="24"/>
        </w:rPr>
        <w:t xml:space="preserve"> </w:t>
      </w:r>
      <w:r>
        <w:rPr>
          <w:rFonts w:ascii="Times New Roman" w:hAnsi="Times New Roman"/>
          <w:sz w:val="24"/>
        </w:rPr>
        <w:t xml:space="preserve">Мирјана Илић се одлучила за ексцерпцију </w:t>
      </w:r>
      <w:r w:rsidRPr="00D74E95">
        <w:rPr>
          <w:rFonts w:ascii="Times New Roman" w:hAnsi="Times New Roman"/>
          <w:sz w:val="24"/>
        </w:rPr>
        <w:t>петна</w:t>
      </w:r>
      <w:r>
        <w:rPr>
          <w:rFonts w:ascii="Times New Roman" w:hAnsi="Times New Roman"/>
          <w:sz w:val="24"/>
        </w:rPr>
        <w:t xml:space="preserve">ест дела следећих угледних српских писаца: </w:t>
      </w:r>
      <w:r w:rsidRPr="00D74E95">
        <w:rPr>
          <w:rFonts w:ascii="Times New Roman" w:hAnsi="Times New Roman"/>
          <w:sz w:val="24"/>
        </w:rPr>
        <w:t>М. Црњански, Б. Ћопић, И. Секулић, Д. Ћосић, И. Андрић, М. Лалић, М. Павић, С, Велмар-Јанковић, Р. Братић, Д. Киш, Д. Албахари, Б. Пекић, Г. Петро</w:t>
      </w:r>
      <w:r>
        <w:rPr>
          <w:rFonts w:ascii="Times New Roman" w:hAnsi="Times New Roman"/>
          <w:sz w:val="24"/>
        </w:rPr>
        <w:t>вић, М. Селимовић, Ј. Радуловић</w:t>
      </w:r>
      <w:r w:rsidRPr="00D74E95">
        <w:rPr>
          <w:rFonts w:ascii="Times New Roman" w:hAnsi="Times New Roman"/>
          <w:sz w:val="24"/>
        </w:rPr>
        <w:t>.</w:t>
      </w:r>
    </w:p>
    <w:p w:rsidR="00BF3173" w:rsidRPr="00370B26" w:rsidRDefault="00BF3173" w:rsidP="0047231E">
      <w:pPr>
        <w:spacing w:line="360" w:lineRule="auto"/>
        <w:ind w:firstLine="720"/>
        <w:jc w:val="both"/>
        <w:rPr>
          <w:rFonts w:ascii="Times New Roman" w:hAnsi="Times New Roman"/>
          <w:sz w:val="24"/>
        </w:rPr>
      </w:pPr>
      <w:r>
        <w:rPr>
          <w:rFonts w:ascii="Times New Roman" w:hAnsi="Times New Roman"/>
          <w:sz w:val="24"/>
          <w:szCs w:val="24"/>
        </w:rPr>
        <w:t xml:space="preserve">Највећу вредност ове књиге представља анализа употребе назива за боје у савременом српском језику. На богатој грађи, анализирајући употребу назива за боје уз именице које означавају најразличитије ентитете, указује се на чињеницу да се малим бројем основних назива за боје означава огроман број различитих нијанси боја. Може се претпоставити да у српском језику не постоји ниједна толико семантички широка категорија лексема, као што су придеви за основне боје. Због тога, ауторки није било лако да пронађе одговарајућу методологију за истраживање семантике ових лексема. У опширним пасусима посвећеним називима за боје, наводи се мноштво примера употребе ових назива, а затим се извлаче релевантни закључци о семантичком потенцијалу ових лексема. </w:t>
      </w:r>
      <w:r w:rsidRPr="00370B26">
        <w:rPr>
          <w:rFonts w:ascii="Times New Roman" w:hAnsi="Times New Roman"/>
          <w:sz w:val="24"/>
        </w:rPr>
        <w:t>Испоставило се да је комбиновање методолошких приступа било неопходно у анализи овако сложено сем</w:t>
      </w:r>
      <w:r>
        <w:rPr>
          <w:rFonts w:ascii="Times New Roman" w:hAnsi="Times New Roman"/>
          <w:sz w:val="24"/>
        </w:rPr>
        <w:t>антички изнијансираних лексема. У првом плану</w:t>
      </w:r>
      <w:r w:rsidRPr="00370B26">
        <w:rPr>
          <w:rFonts w:ascii="Times New Roman" w:hAnsi="Times New Roman"/>
          <w:sz w:val="24"/>
        </w:rPr>
        <w:t xml:space="preserve"> била</w:t>
      </w:r>
      <w:r>
        <w:rPr>
          <w:rFonts w:ascii="Times New Roman" w:hAnsi="Times New Roman"/>
          <w:sz w:val="24"/>
        </w:rPr>
        <w:t xml:space="preserve"> је</w:t>
      </w:r>
      <w:r w:rsidRPr="00370B26">
        <w:rPr>
          <w:rFonts w:ascii="Times New Roman" w:hAnsi="Times New Roman"/>
          <w:sz w:val="24"/>
        </w:rPr>
        <w:t xml:space="preserve"> семантичка анализа, а </w:t>
      </w:r>
      <w:r>
        <w:rPr>
          <w:rFonts w:ascii="Times New Roman" w:hAnsi="Times New Roman"/>
          <w:sz w:val="24"/>
        </w:rPr>
        <w:t xml:space="preserve">у неким деловима обрађује се и понеко питање о </w:t>
      </w:r>
      <w:r w:rsidRPr="00370B26">
        <w:rPr>
          <w:rFonts w:ascii="Times New Roman" w:hAnsi="Times New Roman"/>
          <w:sz w:val="24"/>
        </w:rPr>
        <w:t>творби речи</w:t>
      </w:r>
      <w:r>
        <w:rPr>
          <w:rFonts w:ascii="Times New Roman" w:hAnsi="Times New Roman"/>
          <w:sz w:val="24"/>
        </w:rPr>
        <w:t>, којој се приступило</w:t>
      </w:r>
      <w:r w:rsidRPr="00370B26">
        <w:rPr>
          <w:rFonts w:ascii="Times New Roman" w:hAnsi="Times New Roman"/>
          <w:sz w:val="24"/>
        </w:rPr>
        <w:t xml:space="preserve"> </w:t>
      </w:r>
      <w:r>
        <w:rPr>
          <w:rFonts w:ascii="Times New Roman" w:hAnsi="Times New Roman"/>
          <w:sz w:val="24"/>
        </w:rPr>
        <w:t>из семантичког</w:t>
      </w:r>
      <w:r w:rsidRPr="00370B26">
        <w:rPr>
          <w:rFonts w:ascii="Times New Roman" w:hAnsi="Times New Roman"/>
          <w:sz w:val="24"/>
        </w:rPr>
        <w:t xml:space="preserve"> угла.</w:t>
      </w:r>
    </w:p>
    <w:p w:rsidR="00BF3173" w:rsidRDefault="00BF3173" w:rsidP="0047231E">
      <w:pPr>
        <w:spacing w:line="360" w:lineRule="auto"/>
        <w:ind w:firstLine="720"/>
        <w:jc w:val="both"/>
        <w:rPr>
          <w:rFonts w:ascii="Times New Roman" w:hAnsi="Times New Roman"/>
          <w:sz w:val="24"/>
        </w:rPr>
      </w:pPr>
      <w:r w:rsidRPr="00370B26">
        <w:rPr>
          <w:rFonts w:ascii="Times New Roman" w:hAnsi="Times New Roman"/>
          <w:sz w:val="24"/>
        </w:rPr>
        <w:t xml:space="preserve">У раду се цитира богата литература коју чине радови и књиге аутора из Србије, али и англосаксонских лингвиста, као и семантичара и дериватолога из словенских земаља. </w:t>
      </w:r>
    </w:p>
    <w:p w:rsidR="00BF3173" w:rsidRPr="0047231E" w:rsidRDefault="00BF3173" w:rsidP="0047231E">
      <w:pPr>
        <w:spacing w:line="360" w:lineRule="auto"/>
        <w:ind w:firstLine="720"/>
        <w:jc w:val="both"/>
        <w:rPr>
          <w:rFonts w:ascii="Times New Roman" w:hAnsi="Times New Roman"/>
          <w:sz w:val="24"/>
        </w:rPr>
      </w:pPr>
      <w:r>
        <w:rPr>
          <w:rFonts w:ascii="Times New Roman" w:hAnsi="Times New Roman"/>
          <w:sz w:val="24"/>
        </w:rPr>
        <w:t>Мирјана Илић је у овој књизи</w:t>
      </w:r>
      <w:r w:rsidRPr="0047231E">
        <w:rPr>
          <w:rFonts w:ascii="Times New Roman" w:hAnsi="Times New Roman"/>
          <w:sz w:val="24"/>
        </w:rPr>
        <w:t xml:space="preserve"> </w:t>
      </w:r>
      <w:r>
        <w:rPr>
          <w:rFonts w:ascii="Times New Roman" w:hAnsi="Times New Roman"/>
          <w:sz w:val="24"/>
        </w:rPr>
        <w:t>изнела бројне закључке</w:t>
      </w:r>
      <w:r w:rsidRPr="0047231E">
        <w:rPr>
          <w:rFonts w:ascii="Times New Roman" w:hAnsi="Times New Roman"/>
          <w:sz w:val="24"/>
        </w:rPr>
        <w:t xml:space="preserve"> у вези са особеностима тематске групе придева за боје у савременом српском језику. Овде ће се навести неки од важнијих закључака који се односе на тематску групу као целину: </w:t>
      </w:r>
    </w:p>
    <w:p w:rsidR="00BF3173" w:rsidRPr="0047231E" w:rsidRDefault="00BF3173" w:rsidP="0047231E">
      <w:pPr>
        <w:spacing w:line="360" w:lineRule="auto"/>
        <w:ind w:firstLine="720"/>
        <w:jc w:val="both"/>
        <w:rPr>
          <w:rFonts w:ascii="Times New Roman" w:hAnsi="Times New Roman"/>
          <w:sz w:val="24"/>
        </w:rPr>
      </w:pPr>
      <w:r w:rsidRPr="0047231E">
        <w:rPr>
          <w:rFonts w:ascii="Times New Roman" w:hAnsi="Times New Roman"/>
          <w:sz w:val="24"/>
        </w:rPr>
        <w:t xml:space="preserve">Доминантни чланови тематске групе су придеви </w:t>
      </w:r>
      <w:r w:rsidRPr="0047231E">
        <w:rPr>
          <w:rFonts w:ascii="Times New Roman" w:hAnsi="Times New Roman"/>
          <w:i/>
          <w:sz w:val="24"/>
        </w:rPr>
        <w:t xml:space="preserve">бео </w:t>
      </w:r>
      <w:r w:rsidRPr="0047231E">
        <w:rPr>
          <w:rFonts w:ascii="Times New Roman" w:hAnsi="Times New Roman"/>
          <w:sz w:val="24"/>
        </w:rPr>
        <w:t xml:space="preserve">и </w:t>
      </w:r>
      <w:r w:rsidRPr="0047231E">
        <w:rPr>
          <w:rFonts w:ascii="Times New Roman" w:hAnsi="Times New Roman"/>
          <w:i/>
          <w:sz w:val="24"/>
        </w:rPr>
        <w:t>црн</w:t>
      </w:r>
      <w:r w:rsidRPr="0047231E">
        <w:rPr>
          <w:rFonts w:ascii="Times New Roman" w:hAnsi="Times New Roman"/>
          <w:sz w:val="24"/>
        </w:rPr>
        <w:t xml:space="preserve">. Они имају најсложеније полисемантичке структуре и највећи број значења. Чак и њихови деривати имају развијене полисемантичке структуре, нпр. </w:t>
      </w:r>
      <w:r w:rsidRPr="0047231E">
        <w:rPr>
          <w:rFonts w:ascii="Times New Roman" w:hAnsi="Times New Roman"/>
          <w:i/>
          <w:sz w:val="24"/>
        </w:rPr>
        <w:t>белило</w:t>
      </w:r>
      <w:r w:rsidRPr="0047231E">
        <w:rPr>
          <w:rFonts w:ascii="Times New Roman" w:hAnsi="Times New Roman"/>
          <w:sz w:val="24"/>
        </w:rPr>
        <w:t xml:space="preserve">, </w:t>
      </w:r>
      <w:r w:rsidRPr="0047231E">
        <w:rPr>
          <w:rFonts w:ascii="Times New Roman" w:hAnsi="Times New Roman"/>
          <w:i/>
          <w:sz w:val="24"/>
        </w:rPr>
        <w:t>црнило</w:t>
      </w:r>
      <w:r w:rsidRPr="0047231E">
        <w:rPr>
          <w:rFonts w:ascii="Times New Roman" w:hAnsi="Times New Roman"/>
          <w:sz w:val="24"/>
        </w:rPr>
        <w:t xml:space="preserve">, </w:t>
      </w:r>
      <w:r w:rsidRPr="0047231E">
        <w:rPr>
          <w:rFonts w:ascii="Times New Roman" w:hAnsi="Times New Roman"/>
          <w:i/>
          <w:sz w:val="24"/>
        </w:rPr>
        <w:t>белина</w:t>
      </w:r>
      <w:r w:rsidRPr="0047231E">
        <w:rPr>
          <w:rFonts w:ascii="Times New Roman" w:hAnsi="Times New Roman"/>
          <w:sz w:val="24"/>
        </w:rPr>
        <w:t xml:space="preserve">, </w:t>
      </w:r>
      <w:r w:rsidRPr="0047231E">
        <w:rPr>
          <w:rFonts w:ascii="Times New Roman" w:hAnsi="Times New Roman"/>
          <w:i/>
          <w:sz w:val="24"/>
        </w:rPr>
        <w:t>црнина</w:t>
      </w:r>
      <w:r w:rsidRPr="0047231E">
        <w:rPr>
          <w:rFonts w:ascii="Times New Roman" w:hAnsi="Times New Roman"/>
          <w:sz w:val="24"/>
        </w:rPr>
        <w:t>.</w:t>
      </w:r>
    </w:p>
    <w:p w:rsidR="00BF3173" w:rsidRPr="0047231E" w:rsidRDefault="00BF3173" w:rsidP="0047231E">
      <w:pPr>
        <w:spacing w:line="360" w:lineRule="auto"/>
        <w:ind w:firstLine="720"/>
        <w:jc w:val="both"/>
        <w:rPr>
          <w:rFonts w:ascii="Times New Roman" w:hAnsi="Times New Roman"/>
          <w:sz w:val="24"/>
        </w:rPr>
      </w:pPr>
      <w:r w:rsidRPr="0047231E">
        <w:rPr>
          <w:rFonts w:ascii="Times New Roman" w:hAnsi="Times New Roman"/>
          <w:sz w:val="24"/>
        </w:rPr>
        <w:t xml:space="preserve"> После придева </w:t>
      </w:r>
      <w:r w:rsidRPr="0047231E">
        <w:rPr>
          <w:rFonts w:ascii="Times New Roman" w:hAnsi="Times New Roman"/>
          <w:i/>
          <w:sz w:val="24"/>
        </w:rPr>
        <w:t xml:space="preserve">бео </w:t>
      </w:r>
      <w:r w:rsidRPr="0047231E">
        <w:rPr>
          <w:rFonts w:ascii="Times New Roman" w:hAnsi="Times New Roman"/>
          <w:sz w:val="24"/>
        </w:rPr>
        <w:t xml:space="preserve">и </w:t>
      </w:r>
      <w:r w:rsidRPr="0047231E">
        <w:rPr>
          <w:rFonts w:ascii="Times New Roman" w:hAnsi="Times New Roman"/>
          <w:i/>
          <w:sz w:val="24"/>
        </w:rPr>
        <w:t>црн</w:t>
      </w:r>
      <w:r w:rsidRPr="0047231E">
        <w:rPr>
          <w:rFonts w:ascii="Times New Roman" w:hAnsi="Times New Roman"/>
          <w:sz w:val="24"/>
        </w:rPr>
        <w:t xml:space="preserve">, по развијености полисемантичких структура, следе придеви </w:t>
      </w:r>
      <w:r w:rsidRPr="0047231E">
        <w:rPr>
          <w:rFonts w:ascii="Times New Roman" w:hAnsi="Times New Roman"/>
          <w:i/>
          <w:sz w:val="24"/>
        </w:rPr>
        <w:t>црвен</w:t>
      </w:r>
      <w:r w:rsidRPr="0047231E">
        <w:rPr>
          <w:rFonts w:ascii="Times New Roman" w:hAnsi="Times New Roman"/>
          <w:sz w:val="24"/>
        </w:rPr>
        <w:t xml:space="preserve">, </w:t>
      </w:r>
      <w:r w:rsidRPr="0047231E">
        <w:rPr>
          <w:rFonts w:ascii="Times New Roman" w:hAnsi="Times New Roman"/>
          <w:i/>
          <w:sz w:val="24"/>
        </w:rPr>
        <w:t xml:space="preserve">плав </w:t>
      </w:r>
      <w:r w:rsidRPr="0047231E">
        <w:rPr>
          <w:rFonts w:ascii="Times New Roman" w:hAnsi="Times New Roman"/>
          <w:sz w:val="24"/>
        </w:rPr>
        <w:t xml:space="preserve">и </w:t>
      </w:r>
      <w:r w:rsidRPr="0047231E">
        <w:rPr>
          <w:rFonts w:ascii="Times New Roman" w:hAnsi="Times New Roman"/>
          <w:i/>
          <w:sz w:val="24"/>
        </w:rPr>
        <w:t>зелен</w:t>
      </w:r>
      <w:r w:rsidRPr="0047231E">
        <w:rPr>
          <w:rFonts w:ascii="Times New Roman" w:hAnsi="Times New Roman"/>
          <w:sz w:val="24"/>
        </w:rPr>
        <w:t xml:space="preserve">. Придеви </w:t>
      </w:r>
      <w:r w:rsidRPr="0047231E">
        <w:rPr>
          <w:rFonts w:ascii="Times New Roman" w:hAnsi="Times New Roman"/>
          <w:i/>
          <w:sz w:val="24"/>
        </w:rPr>
        <w:t xml:space="preserve">жут </w:t>
      </w:r>
      <w:r w:rsidRPr="0047231E">
        <w:rPr>
          <w:rFonts w:ascii="Times New Roman" w:hAnsi="Times New Roman"/>
          <w:sz w:val="24"/>
        </w:rPr>
        <w:t xml:space="preserve">и </w:t>
      </w:r>
      <w:r w:rsidRPr="0047231E">
        <w:rPr>
          <w:rFonts w:ascii="Times New Roman" w:hAnsi="Times New Roman"/>
          <w:i/>
          <w:sz w:val="24"/>
        </w:rPr>
        <w:t xml:space="preserve">зелен </w:t>
      </w:r>
      <w:r w:rsidRPr="0047231E">
        <w:rPr>
          <w:rFonts w:ascii="Times New Roman" w:hAnsi="Times New Roman"/>
          <w:sz w:val="24"/>
        </w:rPr>
        <w:t xml:space="preserve">имају знатно једноставније полисемантичке структуре, а придеви </w:t>
      </w:r>
      <w:r w:rsidRPr="0047231E">
        <w:rPr>
          <w:rFonts w:ascii="Times New Roman" w:hAnsi="Times New Roman"/>
          <w:i/>
          <w:sz w:val="24"/>
        </w:rPr>
        <w:t xml:space="preserve">наранџаст </w:t>
      </w:r>
      <w:r w:rsidRPr="0047231E">
        <w:rPr>
          <w:rFonts w:ascii="Times New Roman" w:hAnsi="Times New Roman"/>
          <w:sz w:val="24"/>
        </w:rPr>
        <w:t xml:space="preserve">и </w:t>
      </w:r>
      <w:r w:rsidRPr="0047231E">
        <w:rPr>
          <w:rFonts w:ascii="Times New Roman" w:hAnsi="Times New Roman"/>
          <w:i/>
          <w:sz w:val="24"/>
        </w:rPr>
        <w:t xml:space="preserve">љубичаст </w:t>
      </w:r>
      <w:r w:rsidRPr="0047231E">
        <w:rPr>
          <w:rFonts w:ascii="Times New Roman" w:hAnsi="Times New Roman"/>
          <w:sz w:val="24"/>
        </w:rPr>
        <w:t>немају развијену полисемију.</w:t>
      </w:r>
    </w:p>
    <w:p w:rsidR="00BF3173" w:rsidRPr="0047231E" w:rsidRDefault="00BF3173" w:rsidP="0047231E">
      <w:pPr>
        <w:spacing w:line="360" w:lineRule="auto"/>
        <w:ind w:firstLine="720"/>
        <w:jc w:val="both"/>
        <w:rPr>
          <w:rFonts w:ascii="Times New Roman" w:hAnsi="Times New Roman"/>
          <w:sz w:val="24"/>
        </w:rPr>
      </w:pPr>
      <w:r w:rsidRPr="0047231E">
        <w:rPr>
          <w:rFonts w:ascii="Times New Roman" w:hAnsi="Times New Roman"/>
          <w:sz w:val="24"/>
        </w:rPr>
        <w:t xml:space="preserve">Именице које се односе на материје помоћу којих су дефинисане основне боје, могу градити придеве који се у секундарним значењима односе на боје. Такве су, рецимо, именице: </w:t>
      </w:r>
      <w:r w:rsidRPr="0047231E">
        <w:rPr>
          <w:rFonts w:ascii="Times New Roman" w:hAnsi="Times New Roman"/>
          <w:i/>
          <w:sz w:val="24"/>
        </w:rPr>
        <w:t>снег</w:t>
      </w:r>
      <w:r w:rsidRPr="0047231E">
        <w:rPr>
          <w:rFonts w:ascii="Times New Roman" w:hAnsi="Times New Roman"/>
          <w:sz w:val="24"/>
        </w:rPr>
        <w:t xml:space="preserve">, </w:t>
      </w:r>
      <w:r w:rsidRPr="0047231E">
        <w:rPr>
          <w:rFonts w:ascii="Times New Roman" w:hAnsi="Times New Roman"/>
          <w:i/>
          <w:sz w:val="24"/>
        </w:rPr>
        <w:t>чађ</w:t>
      </w:r>
      <w:r w:rsidRPr="0047231E">
        <w:rPr>
          <w:rFonts w:ascii="Times New Roman" w:hAnsi="Times New Roman"/>
          <w:sz w:val="24"/>
        </w:rPr>
        <w:t xml:space="preserve">, </w:t>
      </w:r>
      <w:r w:rsidRPr="0047231E">
        <w:rPr>
          <w:rFonts w:ascii="Times New Roman" w:hAnsi="Times New Roman"/>
          <w:i/>
          <w:sz w:val="24"/>
        </w:rPr>
        <w:t>крв</w:t>
      </w:r>
      <w:r w:rsidRPr="0047231E">
        <w:rPr>
          <w:rFonts w:ascii="Times New Roman" w:hAnsi="Times New Roman"/>
          <w:sz w:val="24"/>
        </w:rPr>
        <w:t xml:space="preserve">. </w:t>
      </w:r>
    </w:p>
    <w:p w:rsidR="00BF3173" w:rsidRPr="0047231E" w:rsidRDefault="00BF3173" w:rsidP="0047231E">
      <w:pPr>
        <w:spacing w:line="360" w:lineRule="auto"/>
        <w:ind w:firstLine="720"/>
        <w:jc w:val="both"/>
        <w:rPr>
          <w:rFonts w:ascii="Times New Roman" w:hAnsi="Times New Roman"/>
          <w:sz w:val="24"/>
        </w:rPr>
      </w:pPr>
      <w:r w:rsidRPr="0047231E">
        <w:rPr>
          <w:rFonts w:ascii="Times New Roman" w:hAnsi="Times New Roman"/>
          <w:sz w:val="24"/>
        </w:rPr>
        <w:t xml:space="preserve">Механизмом метафоре често се добија секундарно значење визуелног ефекта основних боја: светлина/загаситост, присуство/одсуство сјаја, интензитет. </w:t>
      </w:r>
    </w:p>
    <w:p w:rsidR="00BF3173" w:rsidRPr="0047231E" w:rsidRDefault="00BF3173" w:rsidP="0047231E">
      <w:pPr>
        <w:spacing w:line="360" w:lineRule="auto"/>
        <w:ind w:firstLine="720"/>
        <w:jc w:val="both"/>
        <w:rPr>
          <w:rFonts w:ascii="Times New Roman" w:hAnsi="Times New Roman"/>
          <w:sz w:val="24"/>
        </w:rPr>
      </w:pPr>
      <w:r w:rsidRPr="0047231E">
        <w:rPr>
          <w:rFonts w:ascii="Times New Roman" w:hAnsi="Times New Roman"/>
          <w:sz w:val="24"/>
        </w:rPr>
        <w:t>Резултати метонимијских трансформација непредвидиви су и тешко се могу системски описати.</w:t>
      </w:r>
    </w:p>
    <w:p w:rsidR="00BF3173" w:rsidRPr="0047231E" w:rsidRDefault="00BF3173" w:rsidP="0047231E">
      <w:pPr>
        <w:spacing w:line="360" w:lineRule="auto"/>
        <w:ind w:firstLine="720"/>
        <w:jc w:val="both"/>
        <w:rPr>
          <w:rFonts w:ascii="Times New Roman" w:hAnsi="Times New Roman"/>
          <w:sz w:val="24"/>
        </w:rPr>
      </w:pPr>
      <w:r w:rsidRPr="0047231E">
        <w:rPr>
          <w:rFonts w:ascii="Times New Roman" w:hAnsi="Times New Roman"/>
          <w:sz w:val="24"/>
        </w:rPr>
        <w:t>Многе семантичке трансформације лексема за боје заснивају се на семантичким компонентама присуство/одсуство сјаја и светлина/загаситост. Семантичка компонента сјаја редовно изазива позитивну конотацију, док недостатак сјаја може изазвати негативну конотацију лексеме.</w:t>
      </w:r>
    </w:p>
    <w:p w:rsidR="00BF3173" w:rsidRDefault="00BF3173" w:rsidP="0047231E">
      <w:pPr>
        <w:spacing w:line="360" w:lineRule="auto"/>
        <w:ind w:firstLine="709"/>
        <w:contextualSpacing/>
        <w:jc w:val="both"/>
        <w:rPr>
          <w:rFonts w:ascii="Times New Roman" w:hAnsi="Times New Roman"/>
          <w:sz w:val="24"/>
        </w:rPr>
      </w:pPr>
      <w:bookmarkStart w:id="0" w:name="_GoBack"/>
      <w:bookmarkEnd w:id="0"/>
      <w:r>
        <w:rPr>
          <w:rFonts w:ascii="Times New Roman" w:hAnsi="Times New Roman"/>
          <w:b/>
          <w:sz w:val="24"/>
        </w:rPr>
        <w:t xml:space="preserve">Закључак и препорука. </w:t>
      </w:r>
      <w:r>
        <w:rPr>
          <w:rFonts w:ascii="Times New Roman" w:hAnsi="Times New Roman"/>
          <w:sz w:val="24"/>
        </w:rPr>
        <w:t xml:space="preserve">Због ових и других закључака који су изнесени у књизи, као и због спроведене детаљне анализе назива за боје у српском језику, монографију </w:t>
      </w:r>
      <w:r>
        <w:rPr>
          <w:rFonts w:ascii="Times New Roman" w:hAnsi="Times New Roman"/>
          <w:i/>
          <w:sz w:val="24"/>
        </w:rPr>
        <w:t xml:space="preserve">Боје у оку свести и језику </w:t>
      </w:r>
      <w:r>
        <w:rPr>
          <w:rFonts w:ascii="Times New Roman" w:hAnsi="Times New Roman"/>
          <w:sz w:val="24"/>
        </w:rPr>
        <w:t>ауторке др Мирјане Илић препоручујем за објављивање.</w:t>
      </w:r>
    </w:p>
    <w:p w:rsidR="00BF3173" w:rsidRDefault="00BF3173" w:rsidP="0047231E">
      <w:pPr>
        <w:spacing w:line="360" w:lineRule="auto"/>
        <w:ind w:firstLine="709"/>
        <w:contextualSpacing/>
        <w:jc w:val="both"/>
        <w:rPr>
          <w:rFonts w:ascii="Times New Roman" w:hAnsi="Times New Roman"/>
          <w:sz w:val="24"/>
        </w:rPr>
      </w:pPr>
    </w:p>
    <w:p w:rsidR="00BF3173" w:rsidRDefault="00BF3173" w:rsidP="0047231E">
      <w:pPr>
        <w:spacing w:line="360" w:lineRule="auto"/>
        <w:ind w:firstLine="709"/>
        <w:contextualSpacing/>
        <w:jc w:val="both"/>
        <w:rPr>
          <w:rFonts w:ascii="Times New Roman" w:hAnsi="Times New Roman"/>
          <w:sz w:val="24"/>
        </w:rPr>
      </w:pPr>
    </w:p>
    <w:p w:rsidR="00BF3173" w:rsidRDefault="00BF3173" w:rsidP="0047231E">
      <w:pPr>
        <w:spacing w:line="360" w:lineRule="auto"/>
        <w:ind w:firstLine="709"/>
        <w:contextualSpacing/>
        <w:jc w:val="both"/>
        <w:rPr>
          <w:rFonts w:ascii="Times New Roman" w:hAnsi="Times New Roman"/>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style="position:absolute;left:0;text-align:left;margin-left:359.6pt;margin-top:4pt;width:108pt;height:30.35pt;z-index:-251658240;visibility:visible" wrapcoords="-150 0 -150 21060 21600 21060 21600 0 -150 0">
            <v:imagedata r:id="rId7" o:title=""/>
            <w10:wrap type="through"/>
          </v:shape>
        </w:pict>
      </w:r>
      <w:r>
        <w:rPr>
          <w:rFonts w:ascii="Times New Roman" w:hAnsi="Times New Roman"/>
          <w:sz w:val="24"/>
        </w:rPr>
        <w:t>Београд, 25. јун 2016.</w:t>
      </w:r>
    </w:p>
    <w:p w:rsidR="00BF3173" w:rsidRDefault="00BF3173" w:rsidP="007A6C84">
      <w:pPr>
        <w:spacing w:line="360" w:lineRule="auto"/>
        <w:ind w:firstLine="709"/>
        <w:contextualSpacing/>
        <w:jc w:val="right"/>
        <w:rPr>
          <w:rFonts w:ascii="Times New Roman" w:hAnsi="Times New Roman"/>
          <w:sz w:val="24"/>
        </w:rPr>
      </w:pPr>
    </w:p>
    <w:p w:rsidR="00BF3173" w:rsidRDefault="00BF3173" w:rsidP="007A6C84">
      <w:pPr>
        <w:spacing w:line="240" w:lineRule="auto"/>
        <w:ind w:firstLine="709"/>
        <w:contextualSpacing/>
        <w:jc w:val="right"/>
        <w:rPr>
          <w:rFonts w:ascii="Times New Roman" w:hAnsi="Times New Roman"/>
          <w:sz w:val="24"/>
        </w:rPr>
      </w:pPr>
      <w:r>
        <w:rPr>
          <w:rFonts w:ascii="Times New Roman" w:hAnsi="Times New Roman"/>
          <w:sz w:val="24"/>
        </w:rPr>
        <w:t>Проф. др Рајна Драгићевић</w:t>
      </w:r>
    </w:p>
    <w:p w:rsidR="00BF3173" w:rsidRDefault="00BF3173" w:rsidP="007A6C84">
      <w:pPr>
        <w:spacing w:line="240" w:lineRule="auto"/>
        <w:ind w:firstLine="709"/>
        <w:contextualSpacing/>
        <w:jc w:val="right"/>
        <w:rPr>
          <w:rFonts w:ascii="Times New Roman" w:hAnsi="Times New Roman"/>
          <w:sz w:val="24"/>
        </w:rPr>
      </w:pPr>
      <w:r>
        <w:rPr>
          <w:rFonts w:ascii="Times New Roman" w:hAnsi="Times New Roman"/>
          <w:sz w:val="24"/>
        </w:rPr>
        <w:t>Филолошки факултет</w:t>
      </w:r>
    </w:p>
    <w:p w:rsidR="00BF3173" w:rsidRDefault="00BF3173" w:rsidP="007A6C84">
      <w:pPr>
        <w:spacing w:line="240" w:lineRule="auto"/>
        <w:ind w:firstLine="709"/>
        <w:contextualSpacing/>
        <w:jc w:val="right"/>
        <w:rPr>
          <w:rFonts w:ascii="Times New Roman" w:hAnsi="Times New Roman"/>
          <w:sz w:val="24"/>
        </w:rPr>
      </w:pPr>
      <w:r>
        <w:rPr>
          <w:rFonts w:ascii="Times New Roman" w:hAnsi="Times New Roman"/>
          <w:sz w:val="24"/>
        </w:rPr>
        <w:t>Универзитет у Београду</w:t>
      </w:r>
    </w:p>
    <w:p w:rsidR="00BF3173" w:rsidRDefault="00BF3173" w:rsidP="007A6C84">
      <w:pPr>
        <w:spacing w:line="360" w:lineRule="auto"/>
        <w:ind w:firstLine="709"/>
        <w:contextualSpacing/>
        <w:jc w:val="right"/>
        <w:rPr>
          <w:rFonts w:ascii="Times New Roman" w:hAnsi="Times New Roman"/>
          <w:sz w:val="24"/>
        </w:rPr>
      </w:pP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p>
    <w:p w:rsidR="00BF3173" w:rsidRPr="00C231C9" w:rsidRDefault="00BF3173" w:rsidP="0047231E">
      <w:pPr>
        <w:spacing w:line="360" w:lineRule="auto"/>
        <w:ind w:firstLine="709"/>
        <w:contextualSpacing/>
        <w:jc w:val="both"/>
        <w:rPr>
          <w:rFonts w:ascii="Times New Roman" w:hAnsi="Times New Roman"/>
          <w:sz w:val="24"/>
        </w:rPr>
      </w:pPr>
    </w:p>
    <w:p w:rsidR="00BF3173" w:rsidRPr="0047231E" w:rsidRDefault="00BF3173" w:rsidP="0047231E">
      <w:pPr>
        <w:spacing w:line="360" w:lineRule="auto"/>
        <w:ind w:firstLine="709"/>
        <w:contextualSpacing/>
        <w:jc w:val="both"/>
        <w:rPr>
          <w:rFonts w:ascii="Times New Roman" w:hAnsi="Times New Roman"/>
          <w:sz w:val="24"/>
        </w:rPr>
      </w:pPr>
    </w:p>
    <w:p w:rsidR="00BF3173" w:rsidRPr="0047231E" w:rsidRDefault="00BF3173" w:rsidP="0047231E">
      <w:pPr>
        <w:spacing w:line="360" w:lineRule="auto"/>
        <w:ind w:left="720"/>
        <w:contextualSpacing/>
        <w:rPr>
          <w:rFonts w:ascii="Times New Roman" w:hAnsi="Times New Roman"/>
          <w:sz w:val="24"/>
        </w:rPr>
      </w:pPr>
    </w:p>
    <w:p w:rsidR="00BF3173" w:rsidRPr="00370B26" w:rsidRDefault="00BF3173" w:rsidP="0047231E">
      <w:pPr>
        <w:spacing w:line="360" w:lineRule="auto"/>
        <w:ind w:firstLine="720"/>
        <w:jc w:val="both"/>
        <w:rPr>
          <w:rFonts w:ascii="Times New Roman" w:hAnsi="Times New Roman"/>
          <w:sz w:val="24"/>
        </w:rPr>
      </w:pPr>
    </w:p>
    <w:p w:rsidR="00BF3173" w:rsidRPr="00DE5C96" w:rsidRDefault="00BF3173" w:rsidP="0047231E">
      <w:pPr>
        <w:spacing w:line="360" w:lineRule="auto"/>
        <w:jc w:val="both"/>
        <w:rPr>
          <w:rFonts w:ascii="Times New Roman" w:hAnsi="Times New Roman"/>
          <w:sz w:val="24"/>
          <w:szCs w:val="24"/>
        </w:rPr>
      </w:pPr>
    </w:p>
    <w:sectPr w:rsidR="00BF3173" w:rsidRPr="00DE5C96" w:rsidSect="00010BF6">
      <w:headerReference w:type="defaul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F3173" w:rsidRDefault="00BF3173" w:rsidP="00010BF6">
      <w:pPr>
        <w:spacing w:after="0" w:line="240" w:lineRule="auto"/>
      </w:pPr>
      <w:r>
        <w:separator/>
      </w:r>
    </w:p>
  </w:endnote>
  <w:endnote w:type="continuationSeparator" w:id="0">
    <w:p w:rsidR="00BF3173" w:rsidRDefault="00BF3173" w:rsidP="00010B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F3173" w:rsidRDefault="00BF3173" w:rsidP="00010BF6">
      <w:pPr>
        <w:spacing w:after="0" w:line="240" w:lineRule="auto"/>
      </w:pPr>
      <w:r>
        <w:separator/>
      </w:r>
    </w:p>
  </w:footnote>
  <w:footnote w:type="continuationSeparator" w:id="0">
    <w:p w:rsidR="00BF3173" w:rsidRDefault="00BF3173" w:rsidP="00010B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F3173" w:rsidRDefault="00BF3173">
    <w:pPr>
      <w:pStyle w:val="Header"/>
      <w:jc w:val="center"/>
    </w:pPr>
    <w:fldSimple w:instr=" PAGE   \* MERGEFORMAT ">
      <w:r>
        <w:rPr>
          <w:noProof/>
        </w:rPr>
        <w:t>3</w:t>
      </w:r>
    </w:fldSimple>
  </w:p>
  <w:p w:rsidR="00BF3173" w:rsidRDefault="00BF317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9D073C"/>
    <w:multiLevelType w:val="hybridMultilevel"/>
    <w:tmpl w:val="A872CF30"/>
    <w:lvl w:ilvl="0" w:tplc="E12C007A">
      <w:start w:val="7"/>
      <w:numFmt w:val="bullet"/>
      <w:lvlText w:val="-"/>
      <w:lvlJc w:val="left"/>
      <w:pPr>
        <w:ind w:left="1800" w:hanging="360"/>
      </w:pPr>
      <w:rPr>
        <w:rFonts w:ascii="Times New Roman" w:eastAsia="Times New Roman" w:hAnsi="Times New Roman" w:hint="default"/>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defaultTabStop w:val="720"/>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E5C96"/>
    <w:rsid w:val="00010BF6"/>
    <w:rsid w:val="00043344"/>
    <w:rsid w:val="00060576"/>
    <w:rsid w:val="000F576E"/>
    <w:rsid w:val="0019714D"/>
    <w:rsid w:val="001A405F"/>
    <w:rsid w:val="00201586"/>
    <w:rsid w:val="002A37F5"/>
    <w:rsid w:val="002C467D"/>
    <w:rsid w:val="00370B26"/>
    <w:rsid w:val="00440A83"/>
    <w:rsid w:val="0047231E"/>
    <w:rsid w:val="00504CB3"/>
    <w:rsid w:val="0053772A"/>
    <w:rsid w:val="0054490D"/>
    <w:rsid w:val="00617C8A"/>
    <w:rsid w:val="006E6395"/>
    <w:rsid w:val="006F5A93"/>
    <w:rsid w:val="007A6C84"/>
    <w:rsid w:val="0084653C"/>
    <w:rsid w:val="009413AB"/>
    <w:rsid w:val="00A11DC8"/>
    <w:rsid w:val="00AC0015"/>
    <w:rsid w:val="00BF3173"/>
    <w:rsid w:val="00C231C9"/>
    <w:rsid w:val="00C8394A"/>
    <w:rsid w:val="00D74E95"/>
    <w:rsid w:val="00DE5C96"/>
    <w:rsid w:val="00F9731E"/>
    <w:rsid w:val="00FF6A1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772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010BF6"/>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010BF6"/>
    <w:rPr>
      <w:rFonts w:cs="Times New Roman"/>
    </w:rPr>
  </w:style>
  <w:style w:type="paragraph" w:styleId="Footer">
    <w:name w:val="footer"/>
    <w:basedOn w:val="Normal"/>
    <w:link w:val="FooterChar"/>
    <w:uiPriority w:val="99"/>
    <w:rsid w:val="00010BF6"/>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010BF6"/>
    <w:rPr>
      <w:rFonts w:cs="Times New Roman"/>
    </w:rPr>
  </w:style>
  <w:style w:type="paragraph" w:styleId="BalloonText">
    <w:name w:val="Balloon Text"/>
    <w:basedOn w:val="Normal"/>
    <w:link w:val="BalloonTextChar"/>
    <w:uiPriority w:val="99"/>
    <w:semiHidden/>
    <w:rsid w:val="000F57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F57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3</Pages>
  <Words>618</Words>
  <Characters>3523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Мирјана Илић</dc:title>
  <dc:subject/>
  <dc:creator>Rajna</dc:creator>
  <cp:keywords/>
  <dc:description/>
  <cp:lastModifiedBy>rc</cp:lastModifiedBy>
  <cp:revision>2</cp:revision>
  <dcterms:created xsi:type="dcterms:W3CDTF">2016-06-27T06:06:00Z</dcterms:created>
  <dcterms:modified xsi:type="dcterms:W3CDTF">2016-06-27T06:06:00Z</dcterms:modified>
</cp:coreProperties>
</file>